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Joint Schedule 7 (Financial Difficulties)</w:t>
      </w:r>
    </w:p>
    <w:p w:rsidR="00000000" w:rsidDel="00000000" w:rsidP="00000000" w:rsidRDefault="00000000" w:rsidRPr="00000000" w14:paraId="00000002">
      <w:pPr>
        <w:keepNext w:val="1"/>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003">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7560.0" w:type="dxa"/>
        <w:jc w:val="left"/>
        <w:tblInd w:w="1008.0" w:type="dxa"/>
        <w:tblLayout w:type="fixed"/>
        <w:tblLook w:val="0000"/>
      </w:tblPr>
      <w:tblGrid>
        <w:gridCol w:w="2462"/>
        <w:gridCol w:w="5098"/>
        <w:tblGridChange w:id="0">
          <w:tblGrid>
            <w:gridCol w:w="2462"/>
            <w:gridCol w:w="5098"/>
          </w:tblGrid>
        </w:tblGridChange>
      </w:tblGrid>
      <w:tr>
        <w:tc>
          <w:tcPr/>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"Credit Rating Threshold"</w:t>
            </w:r>
          </w:p>
        </w:tc>
        <w:tc>
          <w:tcPr/>
          <w:p w:rsidR="00000000" w:rsidDel="00000000" w:rsidP="00000000" w:rsidRDefault="00000000" w:rsidRPr="00000000" w14:paraId="00000005">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minimum credit rating level for the Monitored Company as set out in Annex 2 and</w:t>
            </w:r>
          </w:p>
        </w:tc>
      </w:tr>
      <w:tr>
        <w:tc>
          <w:tcPr/>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Distress Event"</w:t>
            </w:r>
          </w:p>
        </w:tc>
        <w:tc>
          <w:tcPr/>
          <w:p w:rsidR="00000000" w:rsidDel="00000000" w:rsidP="00000000" w:rsidRDefault="00000000" w:rsidRPr="00000000" w14:paraId="00000007">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occurrence or one or more of the following events:</w:t>
            </w:r>
          </w:p>
          <w:p w:rsidR="00000000" w:rsidDel="00000000" w:rsidP="00000000" w:rsidRDefault="00000000" w:rsidRPr="00000000" w14:paraId="00000008">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720" w:right="0" w:hanging="54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credit rating of the Monitored Company dropping below the applicable Credit Rating Threshold;</w:t>
            </w:r>
          </w:p>
          <w:p w:rsidR="00000000" w:rsidDel="00000000" w:rsidP="00000000" w:rsidRDefault="00000000" w:rsidRPr="00000000" w14:paraId="00000009">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720" w:right="0" w:hanging="54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Monitored Company issuing a profits warning to a stock exchange or making any other public announcement about a material deterioration in its financial position or prospects;</w:t>
            </w:r>
          </w:p>
          <w:p w:rsidR="00000000" w:rsidDel="00000000" w:rsidP="00000000" w:rsidRDefault="00000000" w:rsidRPr="00000000" w14:paraId="0000000A">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720" w:right="0" w:hanging="54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there being a public investigation into improper financial accounting and reporting, suspected fraud or any other impropriety of the Monitored Party; </w:t>
            </w:r>
          </w:p>
          <w:p w:rsidR="00000000" w:rsidDel="00000000" w:rsidP="00000000" w:rsidRDefault="00000000" w:rsidRPr="00000000" w14:paraId="0000000B">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720" w:right="0" w:hanging="54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Monitored Company committing a material breach of covenant to its lenders; </w:t>
            </w:r>
          </w:p>
          <w:p w:rsidR="00000000" w:rsidDel="00000000" w:rsidP="00000000" w:rsidRDefault="00000000" w:rsidRPr="00000000" w14:paraId="0000000C">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720" w:right="0" w:hanging="54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Key Subcontractor (where applicable) notifying CCS that the Supplier has not satisfied any sums properly due under a specified invoice and not subject to a genuine dispute; or</w:t>
            </w:r>
          </w:p>
          <w:p w:rsidR="00000000" w:rsidDel="00000000" w:rsidP="00000000" w:rsidRDefault="00000000" w:rsidRPr="00000000" w14:paraId="0000000D">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720" w:right="0" w:hanging="54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of the following:</w:t>
            </w:r>
          </w:p>
          <w:p w:rsidR="00000000" w:rsidDel="00000000" w:rsidP="00000000" w:rsidRDefault="00000000" w:rsidRPr="00000000" w14:paraId="0000000E">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commencement of any litigation against the Monitored Company with respect to financial indebtedness or obligations under a contract; </w:t>
            </w:r>
          </w:p>
          <w:p w:rsidR="00000000" w:rsidDel="00000000" w:rsidP="00000000" w:rsidRDefault="00000000" w:rsidRPr="00000000" w14:paraId="0000000F">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non-payment by the Monitored Company of any financial indebtedness;</w:t>
            </w:r>
          </w:p>
          <w:p w:rsidR="00000000" w:rsidDel="00000000" w:rsidP="00000000" w:rsidRDefault="00000000" w:rsidRPr="00000000" w14:paraId="00000010">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financial indebtedness of the Monitored Company becoming due as a result of an event of default; or</w:t>
            </w:r>
          </w:p>
          <w:p w:rsidR="00000000" w:rsidDel="00000000" w:rsidP="00000000" w:rsidRDefault="00000000" w:rsidRPr="00000000" w14:paraId="00000011">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cancellation or suspension of any financial indebtedness in respect of the Monitored Company</w:t>
            </w:r>
          </w:p>
          <w:p w:rsidR="00000000" w:rsidDel="00000000" w:rsidP="00000000" w:rsidRDefault="00000000" w:rsidRPr="00000000" w14:paraId="00000012">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each case which CCS reasonably believes (or would be likely reasonably to believe) could directly impact on the continued performance of any Contract and delivery of the Deliverables in accordance with any Call-Off Contract;</w:t>
            </w:r>
          </w:p>
        </w:tc>
      </w:tr>
      <w:tr>
        <w:tc>
          <w:tcPr/>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Distress Service Continuity Plan"</w:t>
            </w:r>
          </w:p>
        </w:tc>
        <w:tc>
          <w:tcPr/>
          <w:p w:rsidR="00000000" w:rsidDel="00000000" w:rsidP="00000000" w:rsidRDefault="00000000" w:rsidRPr="00000000" w14:paraId="00000014">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plan setting out how the Supplier will ensure the continued performance and delivery of the Deliverables in accordance with [each Call-Off] Contract in the event that a Financial Distress Event occurs;</w:t>
            </w:r>
          </w:p>
        </w:tc>
      </w:tr>
      <w:tr>
        <w:tc>
          <w:tcPr/>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“Monitored Company”</w:t>
            </w:r>
          </w:p>
        </w:tc>
        <w:tc>
          <w:tcPr/>
          <w:p w:rsidR="00000000" w:rsidDel="00000000" w:rsidP="00000000" w:rsidRDefault="00000000" w:rsidRPr="00000000" w14:paraId="00000016">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[the Guarantor] or any Key Subcontractor]</w:t>
            </w:r>
            <w:r w:rsidDel="00000000" w:rsidR="00000000" w:rsidRPr="00000000">
              <w:rPr>
                <w:rtl w:val="0"/>
              </w:rPr>
            </w:r>
          </w:p>
        </w:tc>
      </w:tr>
      <w:tr>
        <w:tc>
          <w:tcPr/>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"Rating Agencies"</w:t>
            </w:r>
          </w:p>
        </w:tc>
        <w:tc>
          <w:tcPr/>
          <w:p w:rsidR="00000000" w:rsidDel="00000000" w:rsidP="00000000" w:rsidRDefault="00000000" w:rsidRPr="00000000" w14:paraId="00000018">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rating agencies listed in Annex 1.</w:t>
            </w:r>
          </w:p>
        </w:tc>
      </w:tr>
    </w:tbl>
    <w:p w:rsidR="00000000" w:rsidDel="00000000" w:rsidP="00000000" w:rsidRDefault="00000000" w:rsidRPr="00000000" w14:paraId="00000019">
      <w:pPr>
        <w:keepNext w:val="1"/>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When this Schedule applies</w:t>
      </w:r>
      <w:r w:rsidDel="00000000" w:rsidR="00000000" w:rsidRPr="00000000">
        <w:rPr>
          <w:rtl w:val="0"/>
        </w:rPr>
      </w:r>
    </w:p>
    <w:p w:rsidR="00000000" w:rsidDel="00000000" w:rsidP="00000000" w:rsidRDefault="00000000" w:rsidRPr="00000000" w14:paraId="0000001A">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shall comply with the provisions of this Schedule in relation to the assessment of the financial standing of the Monitored Companies and the consequences of a change to that financial standing.</w:t>
      </w:r>
    </w:p>
    <w:p w:rsidR="00000000" w:rsidDel="00000000" w:rsidP="00000000" w:rsidRDefault="00000000" w:rsidRPr="00000000" w14:paraId="0000001B">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terms of this Schedule shall survive: </w:t>
      </w:r>
    </w:p>
    <w:p w:rsidR="00000000" w:rsidDel="00000000" w:rsidP="00000000" w:rsidRDefault="00000000" w:rsidRPr="00000000" w14:paraId="0000001C">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under the Framework Contract until the later of (a) the termination or expiry of the Framework Contract or (b) the latest date of termination or expiry of any call-off contract entered into under the Framework Contract (which might be after the date of termination or expiry of the Framework Contract); and</w:t>
      </w:r>
    </w:p>
    <w:p w:rsidR="00000000" w:rsidDel="00000000" w:rsidP="00000000" w:rsidRDefault="00000000" w:rsidRPr="00000000" w14:paraId="0000001D">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under the Call-Off Contract until the termination or expiry of the Call-Off Contract.</w:t>
      </w:r>
    </w:p>
    <w:p w:rsidR="00000000" w:rsidDel="00000000" w:rsidP="00000000" w:rsidRDefault="00000000" w:rsidRPr="00000000" w14:paraId="0000001E">
      <w:pPr>
        <w:keepNext w:val="1"/>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W</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hat happens when your credit rating changes</w:t>
      </w:r>
      <w:r w:rsidDel="00000000" w:rsidR="00000000" w:rsidRPr="00000000">
        <w:rPr>
          <w:rtl w:val="0"/>
        </w:rPr>
      </w:r>
    </w:p>
    <w:p w:rsidR="00000000" w:rsidDel="00000000" w:rsidP="00000000" w:rsidRDefault="00000000" w:rsidRPr="00000000" w14:paraId="0000001F">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warrants and represents to CCS that as at the Start Date the long term credit ratings issued for the Monitored Companies by each of the Rating Agencies are as set out in Annex 2. </w:t>
      </w:r>
    </w:p>
    <w:p w:rsidR="00000000" w:rsidDel="00000000" w:rsidP="00000000" w:rsidRDefault="00000000" w:rsidRPr="00000000" w14:paraId="00000020">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promptly (and in any event within five (5) Working Days) notify CCS in writing if there is any downgrade in the credit rating issued by any Rating Agency for a Monitored Company.</w:t>
      </w:r>
    </w:p>
    <w:p w:rsidR="00000000" w:rsidDel="00000000" w:rsidP="00000000" w:rsidRDefault="00000000" w:rsidRPr="00000000" w14:paraId="00000021">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there is any downgrade credit rating issued by any Rating Agency for the Monitored Company the Supplier shall ensure that the Monitored Company’s auditors thereafter provide CCS within 10 Working Days of the end of each Contract Year and within 10 Working Days of written request by CCS (such requests not to exceed 4 in any Contract Year) with written calculations of the quick ratio for the Monitored Company as at the end of each Contract Year or such other date as may be requested by CCS.  For these purposes the "quick ratio" on any date means:</w:t>
      </w:r>
    </w:p>
    <w:p w:rsidR="00000000" w:rsidDel="00000000" w:rsidP="00000000" w:rsidRDefault="00000000" w:rsidRPr="00000000" w14:paraId="00000022">
      <w:pPr>
        <w:ind w:firstLine="1134"/>
        <w:jc w:val="left"/>
        <w:rPr>
          <w:rFonts w:ascii="Arial" w:cs="Arial" w:eastAsia="Arial" w:hAnsi="Arial"/>
          <w:sz w:val="24"/>
          <w:szCs w:val="24"/>
        </w:rPr>
      </w:pPr>
      <w:r w:rsidDel="00000000" w:rsidR="00000000" w:rsidRPr="00000000">
        <w:rPr>
          <w:rFonts w:ascii="Arial" w:cs="Arial" w:eastAsia="Arial" w:hAnsi="Arial"/>
          <w:sz w:val="24"/>
          <w:szCs w:val="24"/>
        </w:rPr>
        <w:drawing>
          <wp:inline distB="0" distT="0" distL="0" distR="0">
            <wp:extent cx="609600" cy="163195"/>
            <wp:effectExtent b="0" l="0" r="0" t="0"/>
            <wp:docPr id="4"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609600" cy="163195"/>
                    </a:xfrm>
                    <a:prstGeom prst="rect"/>
                    <a:ln/>
                  </pic:spPr>
                </pic:pic>
              </a:graphicData>
            </a:graphic>
          </wp:inline>
        </w:drawing>
      </w:r>
      <w:r w:rsidDel="00000000" w:rsidR="00000000" w:rsidRPr="00000000">
        <w:rPr>
          <w:rFonts w:ascii="Arial" w:cs="Arial" w:eastAsia="Arial" w:hAnsi="Arial"/>
          <w:sz w:val="24"/>
          <w:szCs w:val="24"/>
        </w:rPr>
        <w:drawing>
          <wp:inline distB="0" distT="0" distL="0" distR="0">
            <wp:extent cx="609600" cy="315595"/>
            <wp:effectExtent b="0" l="0" r="0" t="0"/>
            <wp:docPr id="5" name="image2.png"/>
            <a:graphic>
              <a:graphicData uri="http://schemas.openxmlformats.org/drawingml/2006/picture">
                <pic:pic>
                  <pic:nvPicPr>
                    <pic:cNvPr id="0" name="image2.png"/>
                    <pic:cNvPicPr preferRelativeResize="0"/>
                  </pic:nvPicPr>
                  <pic:blipFill>
                    <a:blip r:embed="rId8"/>
                    <a:srcRect b="0" l="0" r="0" t="0"/>
                    <a:stretch>
                      <a:fillRect/>
                    </a:stretch>
                  </pic:blipFill>
                  <pic:spPr>
                    <a:xfrm>
                      <a:off x="0" y="0"/>
                      <a:ext cx="609600" cy="315595"/>
                    </a:xfrm>
                    <a:prstGeom prst="rect"/>
                    <a:ln/>
                  </pic:spPr>
                </pic:pic>
              </a:graphicData>
            </a:graphic>
          </wp:inline>
        </w:drawing>
      </w:r>
      <w:r w:rsidDel="00000000" w:rsidR="00000000" w:rsidRPr="00000000">
        <w:rPr>
          <w:rtl w:val="0"/>
        </w:rPr>
      </w:r>
    </w:p>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tabs>
          <w:tab w:val="left" w:pos="3402"/>
        </w:tabs>
        <w:spacing w:after="220" w:before="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w:t>
      </w:r>
    </w:p>
    <w:tbl>
      <w:tblPr>
        <w:tblStyle w:val="Table2"/>
        <w:tblW w:w="8317.0" w:type="dxa"/>
        <w:jc w:val="left"/>
        <w:tblInd w:w="709.0" w:type="dxa"/>
        <w:tblLayout w:type="fixed"/>
        <w:tblLook w:val="0400"/>
      </w:tblPr>
      <w:tblGrid>
        <w:gridCol w:w="1524"/>
        <w:gridCol w:w="6793"/>
        <w:tblGridChange w:id="0">
          <w:tblGrid>
            <w:gridCol w:w="1524"/>
            <w:gridCol w:w="6793"/>
          </w:tblGrid>
        </w:tblGridChange>
      </w:tblGrid>
      <w:tr>
        <w:tc>
          <w:tcPr/>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tabs>
                <w:tab w:val="left" w:pos="3402"/>
              </w:tabs>
              <w:spacing w:after="220" w:before="0" w:line="240" w:lineRule="auto"/>
              <w:ind w:left="113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w:t>
            </w:r>
          </w:p>
        </w:tc>
        <w:tc>
          <w:tcPr/>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tabs>
                <w:tab w:val="left" w:pos="3402"/>
              </w:tabs>
              <w:spacing w:after="220" w:before="0" w:line="240" w:lineRule="auto"/>
              <w:ind w:left="1134"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the value at the relevant date of all cash in hand and at the bank of the Monitored Company];</w:t>
            </w:r>
            <w:r w:rsidDel="00000000" w:rsidR="00000000" w:rsidRPr="00000000">
              <w:rPr>
                <w:rtl w:val="0"/>
              </w:rPr>
            </w:r>
          </w:p>
        </w:tc>
      </w:tr>
      <w:tr>
        <w:tc>
          <w:tcPr/>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tabs>
                <w:tab w:val="left" w:pos="3402"/>
              </w:tabs>
              <w:spacing w:after="220" w:before="0" w:line="240" w:lineRule="auto"/>
              <w:ind w:left="113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w:t>
            </w:r>
          </w:p>
        </w:tc>
        <w:tc>
          <w:tcPr/>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tabs>
                <w:tab w:val="left" w:pos="3402"/>
              </w:tabs>
              <w:spacing w:after="220" w:before="0" w:line="240" w:lineRule="auto"/>
              <w:ind w:left="113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the value of all marketable securities held by the Supplier the Monitored Company determined using closing prices on the Working Day preceding the relevant date; </w:t>
            </w:r>
          </w:p>
        </w:tc>
      </w:tr>
      <w:tr>
        <w:tc>
          <w:tcPr/>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tabs>
                <w:tab w:val="left" w:pos="3402"/>
              </w:tabs>
              <w:spacing w:after="220" w:before="0" w:line="240" w:lineRule="auto"/>
              <w:ind w:left="113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w:t>
            </w:r>
          </w:p>
        </w:tc>
        <w:tc>
          <w:tcPr/>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tabs>
                <w:tab w:val="left" w:pos="3402"/>
              </w:tabs>
              <w:spacing w:after="220" w:before="0" w:line="240" w:lineRule="auto"/>
              <w:ind w:left="113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the value at the relevant date of all account receivables of the Monitored]; and</w:t>
            </w:r>
          </w:p>
        </w:tc>
      </w:tr>
      <w:tr>
        <w:tc>
          <w:tcPr/>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tabs>
                <w:tab w:val="left" w:pos="3402"/>
              </w:tabs>
              <w:spacing w:after="220" w:before="0" w:line="240" w:lineRule="auto"/>
              <w:ind w:left="113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w:t>
            </w:r>
          </w:p>
        </w:tc>
        <w:tc>
          <w:tcPr/>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tabs>
                <w:tab w:val="left" w:pos="3402"/>
              </w:tabs>
              <w:spacing w:after="220" w:before="0" w:line="240" w:lineRule="auto"/>
              <w:ind w:left="113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the value at the relevant date of the current liabilities of the Monitored Company].</w:t>
            </w:r>
          </w:p>
        </w:tc>
      </w:tr>
    </w:tbl>
    <w:p w:rsidR="00000000" w:rsidDel="00000000" w:rsidP="00000000" w:rsidRDefault="00000000" w:rsidRPr="00000000" w14:paraId="0000002C">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w:t>
      </w:r>
    </w:p>
    <w:p w:rsidR="00000000" w:rsidDel="00000000" w:rsidP="00000000" w:rsidRDefault="00000000" w:rsidRPr="00000000" w14:paraId="0000002D">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regularly monitor the credit ratings of each Monitored Company with the Rating Agencies; and </w:t>
      </w:r>
    </w:p>
    <w:p w:rsidR="00000000" w:rsidDel="00000000" w:rsidP="00000000" w:rsidRDefault="00000000" w:rsidRPr="00000000" w14:paraId="0000002E">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promptly notify (or shall procure that its auditors promptly notify) CCS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p>
    <w:p w:rsidR="00000000" w:rsidDel="00000000" w:rsidP="00000000" w:rsidRDefault="00000000" w:rsidRPr="00000000" w14:paraId="0000002F">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purposes of determining whether a Financial Distress Event has occurred the credit rating of the Monitored Company shall be deemed to have dropped below the applicable Credit Rating Threshold if any of the Rating Agencies have rated the Monitored Company at or below the applicable Credit Rating Threshold.</w:t>
      </w:r>
    </w:p>
    <w:p w:rsidR="00000000" w:rsidDel="00000000" w:rsidP="00000000" w:rsidRDefault="00000000" w:rsidRPr="00000000" w14:paraId="00000030">
      <w:pPr>
        <w:keepNext w:val="1"/>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happens if there is a financial distress event</w:t>
      </w:r>
      <w:r w:rsidDel="00000000" w:rsidR="00000000" w:rsidRPr="00000000">
        <w:rPr>
          <w:rtl w:val="0"/>
        </w:rPr>
      </w:r>
    </w:p>
    <w:p w:rsidR="00000000" w:rsidDel="00000000" w:rsidP="00000000" w:rsidRDefault="00000000" w:rsidRPr="00000000" w14:paraId="00000031">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of a Financial Distress Event then, immediately upon notification of the Financial Distress Event (or if CCS becomes aware of the Financial Distress Event without notification and brings the event to the attention of the Supplier), the Supplier shall have the obligations and CCS shall have the rights and remedies as set out in Paragraphs 4.3 to 4.6.</w:t>
      </w:r>
    </w:p>
    <w:p w:rsidR="00000000" w:rsidDel="00000000" w:rsidP="00000000" w:rsidRDefault="00000000" w:rsidRPr="00000000" w14:paraId="00000032">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that a Financial Distress Event arises due to a Key Subcontractor notifying CCS that the Supplier has not satisfied any sums properly due under a specified invoice and not subject to a genuine dispute then, CCS shall not exercise any of its rights or remedies under Paragraph 4.3 without first giving the Supplier ten (10) Working Days to:</w:t>
      </w:r>
    </w:p>
    <w:p w:rsidR="00000000" w:rsidDel="00000000" w:rsidP="00000000" w:rsidRDefault="00000000" w:rsidRPr="00000000" w14:paraId="00000033">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rectify such late or non-payment; or </w:t>
      </w:r>
    </w:p>
    <w:p w:rsidR="00000000" w:rsidDel="00000000" w:rsidP="00000000" w:rsidRDefault="00000000" w:rsidRPr="00000000" w14:paraId="00000034">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demonstrate to CCS's reasonable satisfaction that there is a valid reason for late or non-payment.</w:t>
      </w:r>
    </w:p>
    <w:p w:rsidR="00000000" w:rsidDel="00000000" w:rsidP="00000000" w:rsidRDefault="00000000" w:rsidRPr="00000000" w14:paraId="00000035">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dy6vkm" w:id="6"/>
      <w:bookmarkEnd w:id="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the other Monitored Companies shall:</w:t>
      </w:r>
    </w:p>
    <w:p w:rsidR="00000000" w:rsidDel="00000000" w:rsidP="00000000" w:rsidRDefault="00000000" w:rsidRPr="00000000" w14:paraId="00000036">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t3h5sf"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the request of CCS meet CCS as soon as reasonably practicable (and in any event within three (3) Working Days of the initial notification (or awareness) of the Financial Distress Event) to review the effect of the Financial Distress Event on the continued performance of each Contract and delivery of the Deliverables in accordance each Call-Off Contract; and</w:t>
      </w:r>
    </w:p>
    <w:p w:rsidR="00000000" w:rsidDel="00000000" w:rsidP="00000000" w:rsidRDefault="00000000" w:rsidRPr="00000000" w14:paraId="00000037">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d34og8"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CCS reasonably believes (taking into account the discussions and any representations made under Paragraph 4.3.1) that the Financial Distress Event could impact on the continued performance of each Contract and delivery of the Deliverables in accordance with each Call-Off Contract: </w:t>
      </w:r>
    </w:p>
    <w:p w:rsidR="00000000" w:rsidDel="00000000" w:rsidP="00000000" w:rsidRDefault="00000000" w:rsidRPr="00000000" w14:paraId="00000038">
      <w:pPr>
        <w:keepNext w:val="0"/>
        <w:keepLines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submit to CCS for its Approval, a draft Financial Distress Service Continuity Plan as soon as reasonably practicable (and in any event, within ten (10) Working Days of the initial notification (or awareness) of the Financial Distress Event); and</w:t>
      </w:r>
    </w:p>
    <w:p w:rsidR="00000000" w:rsidDel="00000000" w:rsidP="00000000" w:rsidRDefault="00000000" w:rsidRPr="00000000" w14:paraId="00000039">
      <w:pPr>
        <w:keepNext w:val="0"/>
        <w:keepLines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s8eyo1" w:id="9"/>
      <w:bookmarkEnd w:id="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such financial information relating to the Monitored Company as CCS may reasonably require.</w:t>
      </w:r>
    </w:p>
    <w:p w:rsidR="00000000" w:rsidDel="00000000" w:rsidP="00000000" w:rsidRDefault="00000000" w:rsidRPr="00000000" w14:paraId="0000003A">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7dp8vu" w:id="10"/>
      <w:bookmarkEnd w:id="1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CCS does not (acting reasonably) approve the draft Financial Distress Service Continuity Plan, it shall inform the Supplier of its reasons and the Supplier shall take those reasons into account in the preparation of a further draft Financial Distress Service Continuity Plan, which shall be resubmitted to CCS within five (5) Working Days of the rejection of the first or subsequent (as the case may be) drafts. This process shall be repeated until the Financial Distress Service Continuity Plan is Approved by CCS or referred to the Dispute Resolution Procedure.</w:t>
      </w:r>
    </w:p>
    <w:p w:rsidR="00000000" w:rsidDel="00000000" w:rsidP="00000000" w:rsidRDefault="00000000" w:rsidRPr="00000000" w14:paraId="0000003B">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rdcrjn" w:id="11"/>
      <w:bookmarkEnd w:id="1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CCS considers that the draft Financial Distress Service Continuity Plan is insufficiently detailed to be properly evaluated, will take too long to complete or will not remedy the relevant Financial Distress Event, then it may either agree a further time period for the development and agreement of the Financial Distress Service Continuity Plan or escalate any issues with the draft Financial Distress Service Continuity Plan using the Dispute Resolution Procedure. </w:t>
      </w:r>
    </w:p>
    <w:p w:rsidR="00000000" w:rsidDel="00000000" w:rsidP="00000000" w:rsidRDefault="00000000" w:rsidRPr="00000000" w14:paraId="0000003C">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6in1rg" w:id="12"/>
      <w:bookmarkEnd w:id="1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Approval of the Financial Distress Service Continuity Plan by CCS, the Supplier shall:</w:t>
      </w:r>
    </w:p>
    <w:p w:rsidR="00000000" w:rsidDel="00000000" w:rsidP="00000000" w:rsidRDefault="00000000" w:rsidRPr="00000000" w14:paraId="0000003D">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lnxbz9" w:id="13"/>
      <w:bookmarkEnd w:id="1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a regular basis (which shall not be less than Monthly), review the Financial Distress Service Continuity Plan and assess whether it remains adequate and up to date to ensure the continued performance each Contract and delivery of the Deliverables in accordance with each Call-Off Contract;</w:t>
      </w:r>
    </w:p>
    <w:p w:rsidR="00000000" w:rsidDel="00000000" w:rsidP="00000000" w:rsidRDefault="00000000" w:rsidRPr="00000000" w14:paraId="0000003E">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5nkun2" w:id="14"/>
      <w:bookmarkEnd w:id="1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Financial Distress Service Continuity Plan is not adequate or up to date in accordance with Paragraph 4.6.1, submit an updated Financial Distress Service Continuity Plan to CCS for its Approval, and the provisions of Paragraphs 4.5 and 4.6 shall apply to the review and Approval process for the updated Financial Distress Service Continuity Plan; and </w:t>
      </w:r>
    </w:p>
    <w:p w:rsidR="00000000" w:rsidDel="00000000" w:rsidP="00000000" w:rsidRDefault="00000000" w:rsidRPr="00000000" w14:paraId="0000003F">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ksv4uv" w:id="15"/>
      <w:bookmarkEnd w:id="1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comply with the Financial Distress Service Continuity Plan (including any updated Financial Distress Service Continuity Plan).</w:t>
      </w:r>
    </w:p>
    <w:p w:rsidR="00000000" w:rsidDel="00000000" w:rsidP="00000000" w:rsidRDefault="00000000" w:rsidRPr="00000000" w14:paraId="00000040">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4sinio" w:id="16"/>
      <w:bookmarkEnd w:id="1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reasonably believes that the relevant Financial Distress Event (or the circumstance or matter which has caused or otherwise led to it) no longer exists, it shall notify CCS and subject to the agreement of the Parties, the Supplier may be relieved of its obligations under Paragraph 4.64.6. </w:t>
      </w:r>
    </w:p>
    <w:p w:rsidR="00000000" w:rsidDel="00000000" w:rsidP="00000000" w:rsidRDefault="00000000" w:rsidRPr="00000000" w14:paraId="00000041">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shall be able to share any information it receives from the Buyer in accordance with this Paragraph with any Buyer who has entered into a Call-Off Contract with the Supplier.</w:t>
      </w:r>
    </w:p>
    <w:p w:rsidR="00000000" w:rsidDel="00000000" w:rsidP="00000000" w:rsidRDefault="00000000" w:rsidRPr="00000000" w14:paraId="00000042">
      <w:pPr>
        <w:keepNext w:val="1"/>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When CCS or the Buyer can terminate for financial distress </w:t>
      </w:r>
      <w:r w:rsidDel="00000000" w:rsidR="00000000" w:rsidRPr="00000000">
        <w:rPr>
          <w:rtl w:val="0"/>
        </w:rPr>
      </w:r>
    </w:p>
    <w:p w:rsidR="00000000" w:rsidDel="00000000" w:rsidP="00000000" w:rsidRDefault="00000000" w:rsidRPr="00000000" w14:paraId="00000043">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jxsxqh" w:id="17"/>
      <w:bookmarkEnd w:id="1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shall be entitled to terminate this Contract and Buyers shall be entitled to terminate their Call-Off Contracts for material Default if: </w:t>
      </w:r>
    </w:p>
    <w:p w:rsidR="00000000" w:rsidDel="00000000" w:rsidP="00000000" w:rsidRDefault="00000000" w:rsidRPr="00000000" w14:paraId="00000044">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fails to notify CCS of a Financial Distress Event in accordance with Paragraph 3.4; </w:t>
      </w:r>
    </w:p>
    <w:p w:rsidR="00000000" w:rsidDel="00000000" w:rsidP="00000000" w:rsidRDefault="00000000" w:rsidRPr="00000000" w14:paraId="00000045">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and the Supplier fail to agree a Financial Distress Service Continuity Plan (or any updated Financial Distress Service Continuity Plan) in accordance with Paragraphs 4.3 to 4.5; and/or</w:t>
      </w:r>
    </w:p>
    <w:p w:rsidR="00000000" w:rsidDel="00000000" w:rsidP="00000000" w:rsidRDefault="00000000" w:rsidRPr="00000000" w14:paraId="00000046">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fails to comply with the terms of the Financial Distress Service Continuity Plan (or any updated Financial Distress Service Continuity Plan) in accordance with Paragraph 4.6.3.</w:t>
      </w:r>
    </w:p>
    <w:p w:rsidR="00000000" w:rsidDel="00000000" w:rsidP="00000000" w:rsidRDefault="00000000" w:rsidRPr="00000000" w14:paraId="00000047">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Contract is terminated in accordance with Paragraph 5.1, Clauses 10.6.1 and 10.6.2 of the Core Terms shall apply as if the Contract had been terminated under Clause 10.4.1.</w:t>
      </w:r>
    </w:p>
    <w:p w:rsidR="00000000" w:rsidDel="00000000" w:rsidP="00000000" w:rsidRDefault="00000000" w:rsidRPr="00000000" w14:paraId="00000048">
      <w:pPr>
        <w:keepNext w:val="1"/>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z337ya" w:id="18"/>
      <w:bookmarkEnd w:id="18"/>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happens If your credit rating is still good</w:t>
      </w:r>
      <w:r w:rsidDel="00000000" w:rsidR="00000000" w:rsidRPr="00000000">
        <w:rPr>
          <w:rtl w:val="0"/>
        </w:rPr>
      </w:r>
    </w:p>
    <w:p w:rsidR="00000000" w:rsidDel="00000000" w:rsidP="00000000" w:rsidRDefault="00000000" w:rsidRPr="00000000" w14:paraId="00000049">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prejudice to the Supplier’s obligations and CCS’ and the Buyer’s rights and remedies under Paragraph 5, if, following the occurrence of a Financial Distress Event, the Rating Agencies review and report subsequently that the credit ratings do not drop below the relevant Credit Rating Threshold, then:</w:t>
      </w:r>
    </w:p>
    <w:p w:rsidR="00000000" w:rsidDel="00000000" w:rsidP="00000000" w:rsidRDefault="00000000" w:rsidRPr="00000000" w14:paraId="0000004A">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be relieved automatically of its obligations under Paragraphs 4.3 to 4.6; and</w:t>
      </w:r>
    </w:p>
    <w:p w:rsidR="00000000" w:rsidDel="00000000" w:rsidP="00000000" w:rsidRDefault="00000000" w:rsidRPr="00000000" w14:paraId="0000004B">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shall not be entitled to require the Supplier to provide financial information in accordance with Paragraph 4.3.2(b). </w:t>
      </w:r>
    </w:p>
    <w:p w:rsidR="00000000" w:rsidDel="00000000" w:rsidP="00000000" w:rsidRDefault="00000000" w:rsidRPr="00000000" w14:paraId="0000004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fffff"/>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D">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426"/>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3j2qqm3" w:id="19"/>
      <w:bookmarkEnd w:id="19"/>
      <w:r w:rsidDel="00000000" w:rsidR="00000000" w:rsidRPr="00000000">
        <w:br w:type="page"/>
      </w:r>
      <w:r w:rsidDel="00000000" w:rsidR="00000000" w:rsidRPr="00000000">
        <w:rPr>
          <w:rtl w:val="0"/>
        </w:rPr>
      </w:r>
    </w:p>
    <w:p w:rsidR="00000000" w:rsidDel="00000000" w:rsidP="00000000" w:rsidRDefault="00000000" w:rsidRPr="00000000" w14:paraId="0000004E">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426"/>
        <w:jc w:val="left"/>
        <w:rPr>
          <w:rFonts w:ascii="Arial" w:cs="Arial" w:eastAsia="Arial" w:hAnsi="Arial"/>
          <w:b w:val="1"/>
          <w:i w:val="0"/>
          <w:smallCaps w:val="1"/>
          <w:strike w:val="0"/>
          <w:color w:val="000000"/>
          <w:sz w:val="36"/>
          <w:szCs w:val="36"/>
          <w:u w:val="none"/>
          <w:shd w:fill="auto" w:val="clear"/>
          <w:vertAlign w:val="baseline"/>
        </w:rPr>
      </w:pPr>
      <w:bookmarkStart w:colFirst="0" w:colLast="0" w:name="_heading=h.1y810tw" w:id="20"/>
      <w:bookmarkEnd w:id="20"/>
      <w:r w:rsidDel="00000000" w:rsidR="00000000" w:rsidRPr="00000000">
        <w:rPr>
          <w:rFonts w:ascii="Arial" w:cs="Arial" w:eastAsia="Arial" w:hAnsi="Arial"/>
          <w:b w:val="1"/>
          <w:i w:val="0"/>
          <w:smallCaps w:val="1"/>
          <w:strike w:val="0"/>
          <w:color w:val="000000"/>
          <w:sz w:val="36"/>
          <w:szCs w:val="36"/>
          <w:u w:val="none"/>
          <w:shd w:fill="auto" w:val="clear"/>
          <w:vertAlign w:val="baseline"/>
          <w:rtl w:val="0"/>
        </w:rPr>
        <w:t xml:space="preserve">ANNEX 1: RATING AGENCIES</w:t>
      </w:r>
    </w:p>
    <w:p w:rsidR="00000000" w:rsidDel="00000000" w:rsidP="00000000" w:rsidRDefault="00000000" w:rsidRPr="00000000" w14:paraId="0000004F">
      <w:pPr>
        <w:keepNext w:val="1"/>
        <w:spacing w:after="120" w:before="240"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Dun &amp; Bradstreet</w:t>
      </w:r>
    </w:p>
    <w:p w:rsidR="00000000" w:rsidDel="00000000" w:rsidP="00000000" w:rsidRDefault="00000000" w:rsidRPr="00000000" w14:paraId="00000050">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1">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426"/>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4i7ojhp" w:id="21"/>
      <w:bookmarkEnd w:id="21"/>
      <w:r w:rsidDel="00000000" w:rsidR="00000000" w:rsidRPr="00000000">
        <w:br w:type="page"/>
      </w:r>
      <w:r w:rsidDel="00000000" w:rsidR="00000000" w:rsidRPr="00000000">
        <w:rPr>
          <w:rFonts w:ascii="Arial" w:cs="Arial" w:eastAsia="Arial" w:hAnsi="Arial"/>
          <w:b w:val="1"/>
          <w:i w:val="0"/>
          <w:smallCaps w:val="1"/>
          <w:strike w:val="0"/>
          <w:color w:val="000000"/>
          <w:sz w:val="36"/>
          <w:szCs w:val="36"/>
          <w:u w:val="none"/>
          <w:shd w:fill="auto" w:val="clear"/>
          <w:vertAlign w:val="baseline"/>
          <w:rtl w:val="0"/>
        </w:rPr>
        <w:t xml:space="preserve">ANNEX 2: CREDIT RATINGS &amp; CREDIT RATING THRESHOLDS</w:t>
      </w:r>
      <w:r w:rsidDel="00000000" w:rsidR="00000000" w:rsidRPr="00000000">
        <w:rPr>
          <w:rtl w:val="0"/>
        </w:rPr>
      </w:r>
    </w:p>
    <w:p w:rsidR="00000000" w:rsidDel="00000000" w:rsidP="00000000" w:rsidRDefault="00000000" w:rsidRPr="00000000" w14:paraId="00000052">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426"/>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Part 1: Current Rating</w:t>
      </w:r>
      <w:r w:rsidDel="00000000" w:rsidR="00000000" w:rsidRPr="00000000">
        <w:rPr>
          <w:rtl w:val="0"/>
        </w:rPr>
      </w:r>
    </w:p>
    <w:tbl>
      <w:tblPr>
        <w:tblStyle w:val="Table3"/>
        <w:tblW w:w="6161.0" w:type="dxa"/>
        <w:jc w:val="left"/>
        <w:tblInd w:w="0.0" w:type="dxa"/>
        <w:tblBorders>
          <w:top w:color="000000" w:space="0" w:sz="4" w:val="single"/>
          <w:left w:color="000000" w:space="0" w:sz="4" w:val="single"/>
          <w:bottom w:color="000000" w:space="0" w:sz="4" w:val="single"/>
          <w:right w:color="000000" w:space="0" w:sz="4" w:val="single"/>
          <w:insideH w:color="000000" w:space="0" w:sz="6" w:val="single"/>
          <w:insideV w:color="000000" w:space="0" w:sz="6" w:val="single"/>
        </w:tblBorders>
        <w:tblLayout w:type="fixed"/>
        <w:tblLook w:val="0400"/>
      </w:tblPr>
      <w:tblGrid>
        <w:gridCol w:w="3080"/>
        <w:gridCol w:w="3081"/>
        <w:tblGridChange w:id="0">
          <w:tblGrid>
            <w:gridCol w:w="3080"/>
            <w:gridCol w:w="3081"/>
          </w:tblGrid>
        </w:tblGridChange>
      </w:tblGrid>
      <w:tr>
        <w:tc>
          <w:tcPr>
            <w:tcBorders>
              <w:top w:color="000000" w:space="0" w:sz="4" w:val="single"/>
            </w:tcBorders>
            <w:shd w:fill="ffffff" w:val="clear"/>
          </w:tcPr>
          <w:p w:rsidR="00000000" w:rsidDel="00000000" w:rsidP="00000000" w:rsidRDefault="00000000" w:rsidRPr="00000000" w14:paraId="00000053">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Entity</w:t>
            </w:r>
          </w:p>
        </w:tc>
        <w:tc>
          <w:tcPr>
            <w:tcBorders>
              <w:top w:color="000000" w:space="0" w:sz="4" w:val="single"/>
            </w:tcBorders>
            <w:shd w:fill="ffffff" w:val="clear"/>
          </w:tcPr>
          <w:p w:rsidR="00000000" w:rsidDel="00000000" w:rsidP="00000000" w:rsidRDefault="00000000" w:rsidRPr="00000000" w14:paraId="00000054">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Credit rating (long term)</w:t>
            </w:r>
          </w:p>
        </w:tc>
      </w:tr>
      <w:tr>
        <w:tc>
          <w:tcPr>
            <w:shd w:fill="ffffff" w:val="clear"/>
          </w:tcPr>
          <w:p w:rsidR="00000000" w:rsidDel="00000000" w:rsidP="00000000" w:rsidRDefault="00000000" w:rsidRPr="00000000" w14:paraId="00000055">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w:t>
            </w:r>
          </w:p>
        </w:tc>
        <w:tc>
          <w:tcPr>
            <w:shd w:fill="ffffff" w:val="clear"/>
          </w:tcPr>
          <w:p w:rsidR="00000000" w:rsidDel="00000000" w:rsidP="00000000" w:rsidRDefault="00000000" w:rsidRPr="00000000" w14:paraId="00000056">
            <w:pPr>
              <w:keepNext w:val="1"/>
              <w:spacing w:after="120" w:before="240" w:lineRule="auto"/>
              <w:ind w:left="14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Lot 1 - 45</w:t>
            </w:r>
          </w:p>
          <w:p w:rsidR="00000000" w:rsidDel="00000000" w:rsidP="00000000" w:rsidRDefault="00000000" w:rsidRPr="00000000" w14:paraId="00000057">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Lot 2 - 50</w:t>
            </w:r>
          </w:p>
        </w:tc>
      </w:tr>
      <w:tr>
        <w:tc>
          <w:tcPr>
            <w:shd w:fill="ffffff" w:val="clear"/>
          </w:tcPr>
          <w:p w:rsidR="00000000" w:rsidDel="00000000" w:rsidP="00000000" w:rsidRDefault="00000000" w:rsidRPr="00000000" w14:paraId="00000058">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[Guarantor]</w:t>
            </w:r>
            <w:r w:rsidDel="00000000" w:rsidR="00000000" w:rsidRPr="00000000">
              <w:rPr>
                <w:rtl w:val="0"/>
              </w:rPr>
            </w:r>
          </w:p>
        </w:tc>
        <w:tc>
          <w:tcPr>
            <w:shd w:fill="ffffff" w:val="clear"/>
          </w:tcPr>
          <w:p w:rsidR="00000000" w:rsidDel="00000000" w:rsidP="00000000" w:rsidRDefault="00000000" w:rsidRPr="00000000" w14:paraId="00000059">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c>
          <w:tcPr>
            <w:tcBorders>
              <w:bottom w:color="000000" w:space="0" w:sz="4" w:val="single"/>
            </w:tcBorders>
            <w:shd w:fill="ffffff" w:val="clear"/>
          </w:tcPr>
          <w:p w:rsidR="00000000" w:rsidDel="00000000" w:rsidP="00000000" w:rsidRDefault="00000000" w:rsidRPr="00000000" w14:paraId="0000005A">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[Key Subcontractor]</w:t>
            </w:r>
          </w:p>
        </w:tc>
        <w:tc>
          <w:tcPr>
            <w:tcBorders>
              <w:bottom w:color="000000" w:space="0" w:sz="4" w:val="single"/>
            </w:tcBorders>
            <w:shd w:fill="ffffff" w:val="clear"/>
          </w:tcPr>
          <w:p w:rsidR="00000000" w:rsidDel="00000000" w:rsidP="00000000" w:rsidRDefault="00000000" w:rsidRPr="00000000" w14:paraId="0000005B">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5C">
      <w:pPr>
        <w:spacing w:after="0" w:lineRule="auto"/>
        <w:rPr>
          <w:rFonts w:ascii="Arial" w:cs="Arial" w:eastAsia="Arial" w:hAnsi="Arial"/>
          <w:sz w:val="24"/>
          <w:szCs w:val="24"/>
        </w:rPr>
      </w:pPr>
      <w:r w:rsidDel="00000000" w:rsidR="00000000" w:rsidRPr="00000000">
        <w:rPr>
          <w:rtl w:val="0"/>
        </w:rPr>
      </w:r>
    </w:p>
    <w:sectPr>
      <w:headerReference r:id="rId9" w:type="default"/>
      <w:footerReference r:id="rId10" w:type="default"/>
      <w:footerReference r:id="rId11"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F">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RM6179</w:t>
      <w:tab/>
      <w:t xml:space="preserve">                                           </w:t>
    </w:r>
  </w:p>
  <w:p w:rsidR="00000000" w:rsidDel="00000000" w:rsidP="00000000" w:rsidRDefault="00000000" w:rsidRPr="00000000" w14:paraId="00000060">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61">
    <w:pPr>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v3.4</w:t>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2">
    <w:pPr>
      <w:tabs>
        <w:tab w:val="center" w:pos="4513"/>
        <w:tab w:val="right" w:pos="9026"/>
      </w:tabs>
      <w:spacing w:after="0" w:lineRule="auto"/>
      <w:rPr>
        <w:color w:val="bfbfbf"/>
      </w:rPr>
    </w:pPr>
    <w:r w:rsidDel="00000000" w:rsidR="00000000" w:rsidRPr="00000000">
      <w:rPr>
        <w:color w:val="bfbfbf"/>
        <w:rtl w:val="0"/>
      </w:rPr>
      <w:t xml:space="preserve">Framework Ref: RM</w:t>
      <w:tab/>
      <w:t xml:space="preserve">                                           </w:t>
    </w:r>
  </w:p>
  <w:p w:rsidR="00000000" w:rsidDel="00000000" w:rsidP="00000000" w:rsidRDefault="00000000" w:rsidRPr="00000000" w14:paraId="00000063">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bfbfbf"/>
        <w:sz w:val="22"/>
        <w:szCs w:val="22"/>
        <w:u w:val="none"/>
        <w:shd w:fill="auto" w:val="clear"/>
        <w:vertAlign w:val="baseline"/>
      </w:rPr>
    </w:pPr>
    <w:r w:rsidDel="00000000" w:rsidR="00000000" w:rsidRPr="00000000">
      <w:rPr>
        <w:rFonts w:ascii="Calibri" w:cs="Calibri" w:eastAsia="Calibri" w:hAnsi="Calibri"/>
        <w:b w:val="0"/>
        <w:i w:val="0"/>
        <w:smallCaps w:val="0"/>
        <w:strike w:val="0"/>
        <w:color w:val="bfbfbf"/>
        <w:sz w:val="22"/>
        <w:szCs w:val="22"/>
        <w:u w:val="none"/>
        <w:shd w:fill="auto" w:val="clear"/>
        <w:vertAlign w:val="baseline"/>
        <w:rtl w:val="0"/>
      </w:rPr>
      <w:t xml:space="preserve">Project Version: v1.0</w:t>
      <w:tab/>
      <w:tab/>
      <w:tab/>
      <w:t xml:space="preserve"> </w:t>
    </w:r>
    <w:r w:rsidDel="00000000" w:rsidR="00000000" w:rsidRPr="00000000">
      <w:rPr>
        <w:rFonts w:ascii="Calibri" w:cs="Calibri" w:eastAsia="Calibri" w:hAnsi="Calibri"/>
        <w:b w:val="0"/>
        <w:i w:val="0"/>
        <w:smallCaps w:val="0"/>
        <w:strike w:val="0"/>
        <w:color w:val="bfbfbf"/>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64">
    <w:pPr>
      <w:spacing w:after="0" w:lineRule="auto"/>
      <w:rPr>
        <w:rFonts w:ascii="Arial" w:cs="Arial" w:eastAsia="Arial" w:hAnsi="Arial"/>
        <w:color w:val="bfbfbf"/>
        <w:sz w:val="20"/>
        <w:szCs w:val="20"/>
      </w:rPr>
    </w:pPr>
    <w:r w:rsidDel="00000000" w:rsidR="00000000" w:rsidRPr="00000000">
      <w:rPr>
        <w:color w:val="bfbfbf"/>
        <w:rtl w:val="0"/>
      </w:rPr>
      <w:t xml:space="preserve">Model Version : v3.0</w:t>
      <w:tab/>
      <w:tab/>
      <w:tab/>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D">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Joint Schedule 7 (Financial Difficulties)</w:t>
    </w:r>
    <w:r w:rsidDel="00000000" w:rsidR="00000000" w:rsidRPr="00000000">
      <w:rPr>
        <w:rtl w:val="0"/>
      </w:rPr>
    </w:r>
  </w:p>
  <w:p w:rsidR="00000000" w:rsidDel="00000000" w:rsidP="00000000" w:rsidRDefault="00000000" w:rsidRPr="00000000" w14:paraId="0000005E">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2018</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rFonts w:ascii="Arial" w:cs="Arial" w:eastAsia="Arial" w:hAnsi="Arial"/>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9.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i w:val="0"/>
        <w:smallCaps w:val="0"/>
        <w:strike w:val="0"/>
        <w:color w:val="000000"/>
        <w:u w:val="none"/>
        <w:vertAlign w:val="baseline"/>
      </w:rPr>
    </w:lvl>
    <w:lvl w:ilvl="5">
      <w:start w:val="1"/>
      <w:numFmt w:val="upperLetter"/>
      <w:lvlText w:val="(%6)"/>
      <w:lvlJc w:val="left"/>
      <w:pPr>
        <w:ind w:left="1440" w:hanging="1080"/>
      </w:pPr>
      <w:rPr>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jc w:val="both"/>
      <w:textAlignment w:val="baseline"/>
    </w:pPr>
    <w:rPr>
      <w:rFonts w:ascii="Calibri" w:cs="Arial" w:eastAsia="Times New Roman"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MarginText" w:customStyle="1">
    <w:name w:val="Margin Text"/>
    <w:basedOn w:val="Normal"/>
    <w:link w:val="MarginTextChar"/>
    <w:pPr>
      <w:keepNext w:val="1"/>
      <w:overflowPunct w:val="1"/>
      <w:autoSpaceDE w:val="1"/>
      <w:autoSpaceDN w:val="1"/>
      <w:spacing w:after="120" w:before="240"/>
      <w:ind w:left="142"/>
      <w:textAlignment w:val="auto"/>
    </w:pPr>
    <w:rPr>
      <w:rFonts w:cs="Times New Roman" w:eastAsia="STZhongsong"/>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1CLAUSEHEADING" w:customStyle="1">
    <w:name w:val="GPS L1 CLAUSE HEADING"/>
    <w:basedOn w:val="Normal"/>
    <w:next w:val="Normal"/>
    <w:qFormat w:val="1"/>
    <w:pPr>
      <w:numPr>
        <w:numId w:val="2"/>
      </w:numPr>
      <w:tabs>
        <w:tab w:val="left" w:pos="142"/>
      </w:tabs>
      <w:overflowPunct w:val="1"/>
      <w:autoSpaceDE w:val="1"/>
      <w:autoSpaceDN w:val="1"/>
      <w:spacing w:before="120"/>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numPr>
        <w:ilvl w:val="2"/>
        <w:numId w:val="2"/>
      </w:numPr>
      <w:tabs>
        <w:tab w:val="left" w:pos="1985"/>
      </w:tabs>
      <w:overflowPunct w:val="1"/>
      <w:autoSpaceDE w:val="1"/>
      <w:autoSpaceDN w:val="1"/>
      <w:spacing w:after="120" w:before="120"/>
      <w:ind w:left="1656"/>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clear" w:pos="1985"/>
      </w:tabs>
      <w:ind w:left="2592" w:hanging="936"/>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link w:val="GPSL2NumberedBoldHeadingChar"/>
    <w:qFormat w:val="1"/>
    <w:pPr>
      <w:numPr>
        <w:ilvl w:val="1"/>
        <w:numId w:val="2"/>
      </w:numPr>
      <w:tabs>
        <w:tab w:val="left" w:pos="1134"/>
      </w:tabs>
      <w:overflowPunct w:val="1"/>
      <w:autoSpaceDE w:val="1"/>
      <w:autoSpaceDN w:val="1"/>
      <w:spacing w:after="120" w:before="120"/>
      <w:ind w:hanging="218"/>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Definition" w:customStyle="1">
    <w:name w:val="GPs Definition"/>
    <w:basedOn w:val="Normal"/>
    <w:qFormat w:val="1"/>
    <w:pPr>
      <w:numPr>
        <w:numId w:val="1"/>
      </w:numPr>
      <w:tabs>
        <w:tab w:val="left" w:pos="175"/>
      </w:tabs>
      <w:spacing w:after="120"/>
    </w:pPr>
  </w:style>
  <w:style w:type="paragraph" w:styleId="GPSDefinitionL2" w:customStyle="1">
    <w:name w:val="GPS Definition L2"/>
    <w:basedOn w:val="GPsDefinition"/>
    <w:qFormat w:val="1"/>
    <w:pPr>
      <w:numPr>
        <w:ilvl w:val="1"/>
      </w:numPr>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DefinitionTerm" w:customStyle="1">
    <w:name w:val="GPS Definition Term"/>
    <w:basedOn w:val="Normal"/>
    <w:qFormat w:val="1"/>
    <w:pPr>
      <w:spacing w:after="120"/>
      <w:ind w:left="-108"/>
      <w:jc w:val="left"/>
    </w:pPr>
    <w:rPr>
      <w:b w:val="1"/>
    </w:rPr>
  </w:style>
  <w:style w:type="paragraph" w:styleId="GPSL1SCHEDULEHeading" w:customStyle="1">
    <w:name w:val="GPS L1 SCHEDULE Heading"/>
    <w:basedOn w:val="GPSL1CLAUSEHEADING"/>
    <w:link w:val="GPSL1SCHEDULEHeadingChar"/>
    <w:qFormat w:val="1"/>
    <w:pPr>
      <w:outlineLvl w:val="9"/>
    </w:pPr>
  </w:style>
  <w:style w:type="paragraph" w:styleId="GPSL2Indent" w:customStyle="1">
    <w:name w:val="GPS L2 Indent"/>
    <w:basedOn w:val="Normal"/>
    <w:link w:val="GPSL2IndentChar"/>
    <w:qFormat w:val="1"/>
    <w:pPr>
      <w:tabs>
        <w:tab w:val="left" w:pos="3402"/>
      </w:tabs>
      <w:spacing w:after="220"/>
      <w:ind w:left="1134"/>
    </w:pPr>
    <w:rPr>
      <w:szCs w:val="24"/>
    </w:rPr>
  </w:style>
  <w:style w:type="paragraph" w:styleId="GPSL3Indent" w:customStyle="1">
    <w:name w:val="GPS L3 Indent"/>
    <w:basedOn w:val="Normal"/>
    <w:link w:val="GPSL3IndentChar"/>
    <w:pPr>
      <w:overflowPunct w:val="1"/>
      <w:autoSpaceDE w:val="1"/>
      <w:autoSpaceDN w:val="1"/>
      <w:spacing w:after="120" w:before="120"/>
      <w:ind w:left="1985"/>
      <w:textAlignment w:val="auto"/>
    </w:pPr>
    <w:rPr>
      <w:lang w:eastAsia="zh-CN" w:val="en-US"/>
    </w:rPr>
  </w:style>
  <w:style w:type="paragraph" w:styleId="GPSmacrorestart" w:customStyle="1">
    <w:name w:val="GPS macro restart"/>
    <w:basedOn w:val="Normal"/>
    <w:qFormat w:val="1"/>
    <w:pPr>
      <w:spacing w:after="0"/>
    </w:pPr>
    <w:rPr>
      <w:color w:val="ffffff"/>
      <w:sz w:val="16"/>
      <w:szCs w:val="16"/>
    </w:rPr>
  </w:style>
  <w:style w:type="paragraph" w:styleId="GPSSchAnnexname" w:customStyle="1">
    <w:name w:val="GPS Sch Annex name"/>
    <w:basedOn w:val="Normal"/>
    <w:link w:val="GPSSchAnnexnameChar"/>
    <w:qFormat w:val="1"/>
    <w:pPr>
      <w:keepNext w:val="1"/>
      <w:overflowPunct w:val="1"/>
      <w:autoSpaceDE w:val="1"/>
      <w:autoSpaceDN w:val="1"/>
      <w:ind w:firstLine="426"/>
      <w:jc w:val="center"/>
      <w:textAlignment w:val="auto"/>
      <w:outlineLvl w:val="1"/>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3IndentChar" w:customStyle="1">
    <w:name w:val="GPS L3 Indent Char"/>
    <w:link w:val="GPSL3Indent"/>
    <w:locked w:val="1"/>
    <w:rPr>
      <w:rFonts w:ascii="Calibri" w:cs="Arial" w:eastAsia="Times New Roman" w:hAnsi="Calibri"/>
      <w:lang w:eastAsia="zh-CN" w:val="en-US"/>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L2IndentChar" w:customStyle="1">
    <w:name w:val="GPS L2 Indent Char"/>
    <w:link w:val="GPSL2Indent"/>
    <w:rPr>
      <w:rFonts w:ascii="Calibri" w:cs="Arial" w:eastAsia="Times New Roman" w:hAnsi="Calibri"/>
      <w:szCs w:val="24"/>
    </w:rPr>
  </w:style>
  <w:style w:type="character" w:styleId="GPSSchAnnexnameChar" w:customStyle="1">
    <w:name w:val="GPS Sch Annex name Char"/>
    <w:link w:val="GPSSchAnnexname"/>
    <w:rPr>
      <w:rFonts w:ascii="Arial Bold" w:cs="Times New Roman" w:eastAsia="STZhongsong" w:hAnsi="Arial Bold"/>
      <w:b w:val="1"/>
      <w:caps w:val="1"/>
      <w:lang w:eastAsia="zh-CN"/>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character" w:styleId="Hyperlink">
    <w:name w:val="Hyperlink"/>
    <w:basedOn w:val="DefaultParagraphFont"/>
    <w:uiPriority w:val="99"/>
    <w:semiHidden w:val="1"/>
    <w:unhideWhenUsed w:val="1"/>
    <w:rPr>
      <w:color w:val="0000ff"/>
      <w:u w:val="single"/>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Revision">
    <w:name w:val="Revision"/>
    <w:hidden w:val="1"/>
    <w:uiPriority w:val="99"/>
    <w:semiHidden w:val="1"/>
    <w:pPr>
      <w:spacing w:after="0" w:line="240" w:lineRule="auto"/>
    </w:pPr>
    <w:rPr>
      <w:rFonts w:ascii="Calibri" w:cs="Arial" w:eastAsia="Times New Roman" w:hAnsi="Calibri"/>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W/n91rlVxwCnWxy74vnSel8ERmw==">AMUW2mV2tkyMI+3GhZv+3IPQ3w4uGfNEapn/7Uw8hVH5Xvyc5K6n+0QXgae5ieXDIcOcid3Y/hvDizYqKPC8sNeF9EVXJxGMPRFqgkOaMStQ0N7SdTSZ6BkQOeG0DYxc7AzFhCnoSqyoDwax1wsBnTRdhMVnl1COTXkmfc9NDbrssjXEV/6E+siEjAYCBsB+Cx0biCO/LN0fmfKbk0i+YuqFbyww+Q/iu3BRFtnzgRvE+mDJ/clkr6AIrB0KDGSZ8Dvl3MC33VOSAqfQE5u43RGkLTdGYXDtOxVK56v+EfxEZIfHSHsLXZHykONLNawqQKbgvtMxf2lLkXSeb/FIeoirxChoIHeTbTwslTRrjSlwC3zpjoh9nPznww7YETvjfisaRLEFuhts9wSo/S/T0PP++qTViYZSsuNVKQOg/k6yy85w2F8t+f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2020-09-02T11:56:00Z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